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633870" cy="936930"/>
            <wp:effectExtent b="0" l="0" r="0" t="0"/>
            <wp:docPr descr="Immagine che contiene disegnando  Descrizione generata automaticamente" id="1" name="image1.png"/>
            <a:graphic>
              <a:graphicData uri="http://schemas.openxmlformats.org/drawingml/2006/picture">
                <pic:pic>
                  <pic:nvPicPr>
                    <pic:cNvPr descr="Immagine che contiene disegnando  Descrizione generata automaticament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870" cy="9369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Contenuti fondamentali  per i Comuni del disegno di legge di bilancio 2025</w:t>
      </w:r>
    </w:p>
    <w:p w:rsidR="00000000" w:rsidDel="00000000" w:rsidP="00000000" w:rsidRDefault="00000000" w:rsidRPr="00000000" w14:paraId="00000005">
      <w:pPr>
        <w:spacing w:after="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 deve in premessa ricordare che i Comuni sono sottoposti a partire dal 2024 ad un taglio di 300 milioni annui per il 2024-25 e di 200 milioni annui per il 2026-28.</w:t>
      </w:r>
    </w:p>
    <w:p w:rsidR="00000000" w:rsidDel="00000000" w:rsidP="00000000" w:rsidRDefault="00000000" w:rsidRPr="00000000" w14:paraId="00000007">
      <w:pPr>
        <w:spacing w:after="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59" w:lineRule="auto"/>
        <w:ind w:left="643" w:right="0" w:hanging="360"/>
        <w:jc w:val="both"/>
        <w:rPr>
          <w:rFonts w:ascii="Aptos" w:cs="Aptos" w:eastAsia="Aptos" w:hAnsi="Apto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contenimento della spesa (art. 104)</w:t>
      </w:r>
    </w:p>
    <w:p w:rsidR="00000000" w:rsidDel="00000000" w:rsidP="00000000" w:rsidRDefault="00000000" w:rsidRPr="00000000" w14:paraId="00000009">
      <w:pPr>
        <w:spacing w:after="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 applica con un </w:t>
      </w:r>
      <w:r w:rsidDel="00000000" w:rsidR="00000000" w:rsidRPr="00000000">
        <w:rPr>
          <w:b w:val="1"/>
          <w:sz w:val="24"/>
          <w:szCs w:val="24"/>
          <w:rtl w:val="0"/>
        </w:rPr>
        <w:t xml:space="preserve">accantonamento obbligatorio di parte corrente</w:t>
      </w:r>
      <w:r w:rsidDel="00000000" w:rsidR="00000000" w:rsidRPr="00000000">
        <w:rPr>
          <w:sz w:val="24"/>
          <w:szCs w:val="24"/>
          <w:rtl w:val="0"/>
        </w:rPr>
        <w:t xml:space="preserve"> spendibile l’anno successivo in conto capitale o con riduzione di disavanzo/debito. La misura dell’accantonamento ammonta per il Comparto dei Comuni 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60" w:lineRule="auto"/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130 milioni nel 2025</w:t>
      </w:r>
    </w:p>
    <w:p w:rsidR="00000000" w:rsidDel="00000000" w:rsidP="00000000" w:rsidRDefault="00000000" w:rsidRPr="00000000" w14:paraId="0000000B">
      <w:pPr>
        <w:spacing w:after="60" w:lineRule="auto"/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260 milioni nel 2026</w:t>
      </w:r>
    </w:p>
    <w:p w:rsidR="00000000" w:rsidDel="00000000" w:rsidP="00000000" w:rsidRDefault="00000000" w:rsidRPr="00000000" w14:paraId="0000000C">
      <w:pPr>
        <w:spacing w:after="60" w:lineRule="auto"/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260 milioni nel 2027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59" w:lineRule="auto"/>
        <w:ind w:left="765" w:right="0" w:hanging="405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milioni nel 2028</w:t>
      </w:r>
    </w:p>
    <w:p w:rsidR="00000000" w:rsidDel="00000000" w:rsidP="00000000" w:rsidRDefault="00000000" w:rsidRPr="00000000" w14:paraId="0000000E">
      <w:pPr>
        <w:spacing w:after="60" w:lineRule="auto"/>
        <w:ind w:firstLine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440 milioni nel 2029</w:t>
      </w:r>
    </w:p>
    <w:p w:rsidR="00000000" w:rsidDel="00000000" w:rsidP="00000000" w:rsidRDefault="00000000" w:rsidRPr="00000000" w14:paraId="0000000F">
      <w:pPr>
        <w:spacing w:after="60" w:lineRule="auto"/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59" w:lineRule="auto"/>
        <w:ind w:left="643" w:right="0" w:hanging="360"/>
        <w:jc w:val="both"/>
        <w:rPr>
          <w:rFonts w:ascii="Aptos" w:cs="Aptos" w:eastAsia="Aptos" w:hAnsi="Apto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Riduzione/azzeramento fondi parte investimenti</w:t>
      </w:r>
    </w:p>
    <w:p w:rsidR="00000000" w:rsidDel="00000000" w:rsidP="00000000" w:rsidRDefault="00000000" w:rsidRPr="00000000" w14:paraId="00000011">
      <w:pPr>
        <w:spacing w:after="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sul versante dei finanziamenti vigenti riguardanti i finanziamenti per gli investimenti (piccole e medie opere, rigenerazione urbana, progettazione) sono previste riduzioni nel prossimo quinquennio di circa il 20/30%. Viene inoltre azzerato uno specifico dispositivo che obbligava le Regioni ad assegnare ai Comuni fondi per investimento pari al 70% di un fondo di loro spettanza.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59" w:lineRule="auto"/>
        <w:ind w:left="0" w:right="0" w:firstLine="360"/>
        <w:jc w:val="both"/>
        <w:rPr>
          <w:rFonts w:ascii="Aptos" w:cs="Aptos" w:eastAsia="Aptos" w:hAnsi="Apto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Viene  stabilità l’obbligatorietà di un saldo annuale complessivo più stringente (art. 104, commi 2 e 9) 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rispetto all’attuale </w:t>
      </w: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pareggio di bilancio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comprensivo anche dell’utilizzo avanzi e degli accantonamenti.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Tale obbligo viene però verificato in prima istanza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a livello di comparto </w:t>
      </w:r>
      <w:r w:rsidDel="00000000" w:rsidR="00000000" w:rsidRPr="00000000">
        <w:rPr>
          <w:sz w:val="24"/>
          <w:szCs w:val="24"/>
          <w:rtl w:val="0"/>
        </w:rPr>
        <w:t xml:space="preserve">e solo in caso di sforamento si potranno applicare sanzioni agli enti inadempienti.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Sulla base dei dati degli ultimi anni, </w:t>
      </w:r>
      <w:r w:rsidDel="00000000" w:rsidR="00000000" w:rsidRPr="00000000">
        <w:rPr>
          <w:b w:val="1"/>
          <w:sz w:val="24"/>
          <w:szCs w:val="24"/>
          <w:rtl w:val="0"/>
        </w:rPr>
        <w:t xml:space="preserve">l’equilibrio in questione è rispettato</w:t>
      </w:r>
      <w:r w:rsidDel="00000000" w:rsidR="00000000" w:rsidRPr="00000000">
        <w:rPr>
          <w:sz w:val="24"/>
          <w:szCs w:val="24"/>
          <w:rtl w:val="0"/>
        </w:rPr>
        <w:t xml:space="preserve"> per il comparto dei Comuni e il mancato rispetto riguarda circa 600 enti.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59" w:lineRule="auto"/>
        <w:ind w:left="643" w:right="0" w:hanging="360"/>
        <w:jc w:val="both"/>
        <w:rPr>
          <w:rFonts w:ascii="Aptos" w:cs="Aptos" w:eastAsia="Aptos" w:hAnsi="Apto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Copertura parziale spese per affidamento minori (art. 101)</w:t>
      </w:r>
    </w:p>
    <w:p w:rsidR="00000000" w:rsidDel="00000000" w:rsidP="00000000" w:rsidRDefault="00000000" w:rsidRPr="00000000" w14:paraId="00000018">
      <w:pPr>
        <w:spacing w:after="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È previsto un fondo pluriennale (100 mln. annui nel 2025-27) per contribuire alla copertura parziale delle spese per l’affidamento con sentenza di minori e famiglie in difficoltà.  Abbiamo chiesto di aumentare lo stanziamento a circa 250 milioni, è stata manifestata disponibilità a fare una verifica politica almeno per gli anni successivi al 2025. Chiederemo inoltre di modificare la previsione che attualmente prevede una soglia di esclusione al 10%, privilegiando nel criterio di riparto gli enti che mostrano un’incidenza maggiore della spesa per affidamenti rispetto al totale della spesa corrente o sociale.</w:t>
      </w:r>
    </w:p>
    <w:p w:rsidR="00000000" w:rsidDel="00000000" w:rsidP="00000000" w:rsidRDefault="00000000" w:rsidRPr="00000000" w14:paraId="00000019">
      <w:pPr>
        <w:spacing w:after="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59" w:lineRule="auto"/>
        <w:ind w:left="643" w:right="0" w:hanging="360"/>
        <w:jc w:val="both"/>
        <w:rPr>
          <w:rFonts w:ascii="Aptos" w:cs="Aptos" w:eastAsia="Aptos" w:hAnsi="Apto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Inserimento </w:t>
      </w:r>
      <w:r w:rsidDel="00000000" w:rsidR="00000000" w:rsidRPr="00000000">
        <w:rPr>
          <w:rFonts w:ascii="Aptos" w:cs="Aptos" w:eastAsia="Aptos" w:hAnsi="Apto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verticale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 risorse a sostegno della perequazione (art. 100)</w:t>
      </w:r>
    </w:p>
    <w:p w:rsidR="00000000" w:rsidDel="00000000" w:rsidP="00000000" w:rsidRDefault="00000000" w:rsidRPr="00000000" w14:paraId="0000001B">
      <w:pPr>
        <w:spacing w:after="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fine di attenuare l’impatto della crescita del target perequativo per il raggiungimento della completa perequazione delle risorse comunali (il cui termine resta fissato al 2030</w:t>
      </w:r>
      <w:r w:rsidDel="00000000" w:rsidR="00000000" w:rsidRPr="00000000">
        <w:rPr>
          <w:b w:val="1"/>
          <w:sz w:val="24"/>
          <w:szCs w:val="24"/>
          <w:rtl w:val="0"/>
        </w:rPr>
        <w:t xml:space="preserve">), è previsto uno stanziamento statale aggiuntivo nel FSC </w:t>
      </w:r>
      <w:r w:rsidDel="00000000" w:rsidR="00000000" w:rsidRPr="00000000">
        <w:rPr>
          <w:sz w:val="24"/>
          <w:szCs w:val="24"/>
          <w:rtl w:val="0"/>
        </w:rPr>
        <w:t xml:space="preserve">che consentirà di quasi dimezzare l’effetto finanziario medio annuale all’interno del comparto pari a:</w:t>
      </w:r>
    </w:p>
    <w:p w:rsidR="00000000" w:rsidDel="00000000" w:rsidP="00000000" w:rsidRDefault="00000000" w:rsidRPr="00000000" w14:paraId="0000001C">
      <w:pPr>
        <w:spacing w:after="60" w:lineRule="auto"/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56 milioni per il 2025</w:t>
      </w:r>
    </w:p>
    <w:p w:rsidR="00000000" w:rsidDel="00000000" w:rsidP="00000000" w:rsidRDefault="00000000" w:rsidRPr="00000000" w14:paraId="0000001D">
      <w:pPr>
        <w:spacing w:after="60" w:lineRule="auto"/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112 milioni per il 2026</w:t>
      </w:r>
    </w:p>
    <w:p w:rsidR="00000000" w:rsidDel="00000000" w:rsidP="00000000" w:rsidRDefault="00000000" w:rsidRPr="00000000" w14:paraId="0000001E">
      <w:pPr>
        <w:spacing w:after="60" w:lineRule="auto"/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168 milioni per il 2027</w:t>
      </w:r>
    </w:p>
    <w:p w:rsidR="00000000" w:rsidDel="00000000" w:rsidP="00000000" w:rsidRDefault="00000000" w:rsidRPr="00000000" w14:paraId="0000001F">
      <w:pPr>
        <w:spacing w:after="60" w:lineRule="auto"/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224 milioni per il 2028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59" w:lineRule="auto"/>
        <w:ind w:left="765" w:right="0" w:hanging="405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milioni per il 2029</w:t>
      </w:r>
    </w:p>
    <w:p w:rsidR="00000000" w:rsidDel="00000000" w:rsidP="00000000" w:rsidRDefault="00000000" w:rsidRPr="00000000" w14:paraId="00000021">
      <w:pPr>
        <w:spacing w:after="60" w:lineRule="auto"/>
        <w:ind w:firstLine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310 milioni dal 2030</w:t>
      </w:r>
    </w:p>
    <w:p w:rsidR="00000000" w:rsidDel="00000000" w:rsidP="00000000" w:rsidRDefault="00000000" w:rsidRPr="00000000" w14:paraId="00000022">
      <w:pPr>
        <w:spacing w:after="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L’integrazione relativa al 2025 avverrà con un apposito provvedimento entro il prossimo mese di gennaio, in quanto il riparto del FSC è stato determinato a legislazione vigente presso la Commissione tecnica per i fabbisogni standard e verrà sottoposto all’esame della Conferenza Stato Città nelle prossime settimane.</w:t>
      </w:r>
    </w:p>
    <w:p w:rsidR="00000000" w:rsidDel="00000000" w:rsidP="00000000" w:rsidRDefault="00000000" w:rsidRPr="00000000" w14:paraId="00000023">
      <w:pPr>
        <w:spacing w:after="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360"/>
        <w:jc w:val="both"/>
        <w:rPr>
          <w:rFonts w:ascii="Aptos" w:cs="Aptos" w:eastAsia="Aptos" w:hAnsi="Apto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Incremento risorse per le Città metropolitane e le province (art.102), per il periodo 2025-30 (+50 mln. annui)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 parità di risorse a regime (600 mln. annui dal 2031)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59" w:lineRule="auto"/>
        <w:ind w:left="720" w:right="0" w:hanging="360"/>
        <w:jc w:val="both"/>
        <w:rPr>
          <w:rFonts w:ascii="Aptos" w:cs="Aptos" w:eastAsia="Aptos" w:hAnsi="Apto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Sul personale vi è un grave e ingiustificato ritorno al passato, con un turn over al 75% per le assunzioni a tempo indeterminato nell’anno 2025 per tutti i Comuni e Città Metropolitane con più di 20 dipendenti di ruolo in servizio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7">
      <w:pPr>
        <w:spacing w:after="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 un primo e approssimativo calcolo sarebbero circa 3 mila gli Enti rientranti nell’ambito soggettivo della disposizione  e con alcuni effetti paradossali dentro un Comparto che già vede una continua contrazione del personale in servizio e che, proprio con la regola della sostenibilità finanziaria, a partire dal 2020, ha faticosamente introdotto un principio virtuoso di governo della spesa per assunzioni di personale diametralmente opposto rispetto alla logica del taglio orizzontale e indifferenziato.</w:t>
      </w:r>
    </w:p>
    <w:p w:rsidR="00000000" w:rsidDel="00000000" w:rsidP="00000000" w:rsidRDefault="00000000" w:rsidRPr="00000000" w14:paraId="00000028">
      <w:pPr>
        <w:spacing w:after="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Trattasi dunque, per un anno, di una sovrapposizione in peius, della regola della cd sostenibilità finanziaria per il calcolo delle capacità assunzionali di Comuni e Città Metropolitane introdotta solo 4 anni fa con quella del turrn over parziale che mette a rischio: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le programmazioni triennali dei fabbisogni di personale già approvate e in corso di attuazione, anche con procedure concorsuali già avviate, con evidenti possibili contenziosi con gli eventuali vincitori di concorso;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59" w:lineRule="auto"/>
        <w:ind w:left="108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processi di mobilità tra enti in quanto gli effetti finanziari degli stessi sarebbero diversi a seconda del regime assunzionale di Comuni e Città Metropolitane di  provenienza e di destinazione.   </w:t>
      </w:r>
    </w:p>
    <w:p w:rsidR="00000000" w:rsidDel="00000000" w:rsidP="00000000" w:rsidRDefault="00000000" w:rsidRPr="00000000" w14:paraId="0000002B">
      <w:pPr>
        <w:spacing w:after="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Ciò che colpisce maggiormente è la motivazione con cui viene introdotta tale disciplina e cioè l’attuazione della riforma prevista dal Pnrr che invece sarebbe proprio quella messa a maggior rischio. </w:t>
      </w:r>
    </w:p>
    <w:sectPr>
      <w:pgSz w:h="16838" w:w="11906" w:orient="portrait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60"/>
      <w:numFmt w:val="decimal"/>
      <w:lvlText w:val="%1"/>
      <w:lvlJc w:val="left"/>
      <w:pPr>
        <w:ind w:left="765" w:hanging="405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80"/>
      <w:numFmt w:val="decimal"/>
      <w:lvlText w:val="%1"/>
      <w:lvlJc w:val="left"/>
      <w:pPr>
        <w:ind w:left="765" w:hanging="405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643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